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43</w:t>
      </w:r>
    </w:p>
    <w:p>
      <w:r>
        <w:t>Bundesgericht (BGE), 2007-10-16, FR</w:t>
      </w:r>
    </w:p>
    <w:p>
      <w:r>
        <w:rPr>
          <w:b/>
        </w:rPr>
        <w:t xml:space="preserve">Quelle: </w:t>
      </w:r>
      <w:r>
        <w:t>https://mcp.opencaselaw.ch/entscheid/bge_134 IV 43</w:t>
      </w:r>
    </w:p>
    <w:p>
      <w:r>
        <w:t>FR: ATF 134 IV 43</w:t>
      </w:r>
    </w:p>
    <w:p>
      <w:r>
        <w:t>IT: DTF 134 IV 43</w:t>
      </w:r>
    </w:p>
    <w:p>
      <w:pPr>
        <w:pStyle w:val="Heading2"/>
      </w:pPr>
      <w:r>
        <w:t>Regeste</w:t>
      </w:r>
    </w:p>
    <w:p>
      <w:r>
        <w:t>Regeste Beschwerde in Strafsachen gegen einen Entscheid betreffend die Sistierung des Verfahrens - Art. 93 Abs. 1 lit. a BGG. Richtet sich eine Beschwerde gegen einen Entscheid betreffend die Sistierung eines Verfahrens und macht der Beschwerdeführer keine Verletzung des Beschleunigungsgebots (formelle Rechtsverweigerung oder Verweigerung eines Entscheids) geltend, sondern die Verletzung anderer verfassungsmässiger Rechte im Zusammenhang mit der Anwendung des Strafverfahrensrechts, so muss die Eintretensvoraussetzung von Art. 93 Abs. 1 lit. a BGG, d.h. die Möglichkeit eines nicht wieder gutzumachenden Nachteils, erfüllt sein (E. 2).</w:t>
      </w:r>
    </w:p>
    <w:p>
      <w:pPr>
        <w:pStyle w:val="Heading2"/>
      </w:pPr>
      <w:r>
        <w:t>Erwägungen</w:t>
      </w:r>
    </w:p>
    <w:p>
      <w:r>
        <w:rPr>
          <w:b/>
        </w:rPr>
        <w:t>E. 2</w:t>
      </w:r>
    </w:p>
    <w:p>
      <w:r>
        <w:t>Dans la cause pénale (n° y/2007), la décision attaquée est une décision incidente, qui ne met pas fin à la procédure.</w:t>
      </w:r>
    </w:p>
    <w:p>
      <w:r>
        <w:rPr>
          <w:b/>
        </w:rPr>
        <w:t>E. 2.1</w:t>
      </w:r>
    </w:p>
    <w:p>
      <w:r>
        <w:t>Le recours en matière pénale contre une décision incidente n'est recevable qu'aux conditions de l'art. 93 al. 1 de la loi du 17 juin 2005 sur le Tribunal fédéral (LTF; RS 173.110).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BGE 134 IV 43 S. 45 pas en considération ici, de sorte qu'il convient uniquement d'examiner si le recours est recevable au regard de l' art. 93 al. 1 let. a LTF . D'après la jurisprudence récente du Tribunal fédéral, dans la procédure de recours en matière pénale, la notion de préjudice irréparable ( art. 93 al. 1 let. a LTF ) correspond à celle de l'art. 87 al. 2 de l'ancienne loi d'organisation judiciaire (OJ), qui soumettait à la même condition la recevabilité du recours de droit public contre de telles décisions incidentes ( ATF 133 IV 139 consid. 4 p. 141; ATF 133 IV 335 consid. 4 p. 338). Selon la jurisprudence relative à l' art. 87 al. 2 OJ , il doit s'agir d'un dommage de nature juridique, qui ne puisse pas être réparé ultérieurement par un jugement final ou une autre décision favorable au recourant (notamment ATF 131 I 57 consid. 1 p. 59; ATF 127 I 92 consid. 1c p. 94 et les arrêts cités). Cette réglementation est fondée sur des motifs d'économie de procédure; en tant que cour suprême, le Tribunal fédéral doit en principe ne s'occuper qu'une seule fois d'un procès, et cela seulement lorsqu'il est certain que le recourant subit effectivement un dommage définitif.</w:t>
      </w:r>
    </w:p>
    <w:p>
      <w:r>
        <w:rPr>
          <w:b/>
        </w:rPr>
        <w:t>E. 2.2</w:t>
      </w:r>
    </w:p>
    <w:p>
      <w:r>
        <w:t>Dans le cadre de l'ancien recours de droit public, le Tribunal fédéral avait considéré, dans un arrêt rendu en 1994, que l' art. 87 OJ n'était pas applicable au recours formé contre une décision ordonnant la suspension d'une procédure ( ATF 120 III 143 consid. 1b p. 144). Après avoir posé cette règle, cet arrêt indiquait que la partie demandant en vain une décision pouvait agir par la voie du recours de droit public pour déni de justice, même si l'autorité cantonale ne refusait pas expressément de statuer (ibidem). La jurisprudence constante admet en effet que l'on renonce à l'exigence d'un préjudice irréparable lorsque le recourant se plaint d'un refus de l'autorité de statuer, ou d'un retard injustifié à le faire ( ATF 120 III 143 consid. 1b p. 144; ATF 117 Ia 336 consid. 1a p. 337; arrêt 1P.623/2002 du 6 mars 2003, publié in Pra 92/2003 n° 207 p. 1129).</w:t>
      </w:r>
    </w:p>
    <w:p>
      <w:r>
        <w:rPr>
          <w:b/>
        </w:rPr>
        <w:t>E. 2.3</w:t>
      </w:r>
    </w:p>
    <w:p>
      <w:r>
        <w:t>Lorsque l'on examine la portée d'une décision de suspension et ses effets pour les parties au procès, il faut en réalité prendre en considération deux situations différentes: d'une part celle où la partie, estimant que sa cause n'a pas été jugée dans un délai raisonnable, se plaint d'une violation de l' art. 29 al. 1 Cst. ou d'une autre garantie correspondante, l'objet du recours pouvant alors être soit une décision expresse - le cas échéant une ordonnance de suspension -, soit le silence ou l'inaction de l'autorité; d'autre part celle où la partie conteste la suspension de la procédure non pas en invoquant BGE 134 IV 43 S. 46 la garantie du jugement dans un délai raisonnable (ou principe de la célérité) mais en présentant d'autres griefs, par exemple l'inopportunité de cette mesure compte tenu d'autres procédures ouvertes dans le même contexte, le risque de disparition de preuves, etc. Dans cette seconde situation, la suspension n'est pas nécessairement susceptible de conduire à un retard constitutif de déni de justice formel; à tout le moins, une telle conséquence peut n'être qu'une simple hypothèse, sans risque particulier de réalisation, au moment où la suspension est décidée (il en va de même, par analogie, lorsqu'une expertise ou une commission rogatoire sont ordonnées). Aussi, pour tenir dans une certaine mesure compte de ces différentes situations, le Tribunal fédéral a rappelé cette jurisprudence, dans des arrêts non publiés postérieurs à l'arrêt précité ( ATF 120 III 143 ), en précisant qu'elle s'appliquait essentiellement aux cas où la suspension de la procédure était prononcée sine die , pour une durée indéterminée ou lorsque la reprise de la procédure dépendait d'un événement incertain, sur lequel l'intéressé n'avait aucune prise (arrêts 1P.269/2000 du 18 mai 2000, consid. 1b/bb; 1P.536/2004 du 19 novembre 2004, consid. 3).</w:t>
      </w:r>
    </w:p>
    <w:p>
      <w:r>
        <w:rPr>
          <w:b/>
        </w:rPr>
        <w:t>E. 2.4</w:t>
      </w:r>
    </w:p>
    <w:p>
      <w:r>
        <w:t>Dans le cas présent, la décision attaquée confirme une ordonnance de suspension de la procédure pénale. Ladite ordonnance a été prise par le Procureur général dans le mois suivant le dépôt de la dénonciation, et avant l'ouverture de l'instruction préparatoire (cf. art. 90 let. a CPP /GE). La Chambre d'accusation a elle-même statué deux mois après l'ordonnance de suspension. Il est manifeste qu'à la date de la décision attaquée, les autorités cantonales ne pouvaient pas se voir reprocher une violation de la garantie du jugement dans un délai raisonnable dans la procédure pénale n° y/2007. La recourante ne le prétend du reste pas. La recourante ne fait pas non plus valoir que la suspension - dont la durée dépend de l'avancement d'une autre enquête pénale en cours concernant, d'après la décision attaquée, le même complexe de faits - équivaudrait à un report sine die des opérations de l'enquête, empêchant nécessairement ou selon toute probabilité les autorités d'instruction et de jugement de statuer dans un délai raisonnable. La recourante présente en effet des griefs d'un autre ordre: elle soutient que les deux procédures pénales concernées (n os y/2007 et x/2006) ont des objets différents, que les protagonistes n'ont pas le même rôle dans les deux affaires et, en substance, que les conditions pour ordonner une suspension, mesure conçue comme exceptionnelle, ne sont pas réunies. BGE 134 IV 43 S. 47</w:t>
      </w:r>
    </w:p>
    <w:p>
      <w:r>
        <w:rPr>
          <w:b/>
        </w:rPr>
        <w:t>E. 2.5</w:t>
      </w:r>
    </w:p>
    <w:p>
      <w:r>
        <w:t>Il incombe à la partie qui critique une décision ordonnant la suspension d'une procédure d'indiquer clairement l'objet de la contestation. Si la suspension est critiquée parce que la durée de la procédure à ce stade est déjà excessive, ou parce que cette mesure entraînera nécessairement la violation du principe de la célérité, cette argumentation doit être exposée de manière précise, conformément aux exigences de motivation posées aux art. 42 al. 2 et 106 al. 2 LTF (cf. ATF 133 II 249 consid. 1.4.2 p. 254). Le cas échéant, le Tribunal fédéral pourra considérer que le recours contre la suspension est recevable nonobstant le caractère incident de l'ordonnance, ce conformément à la jurisprudence relative à l' art. 87 OJ qu'il y a lieu en principe de reprendre dans le cadre de l' art. 93 al. 1 LTF (cf. supra, consid. 2.1 et 2.2). En revanche, si la suspension critiquée intervient à un stade de la procédure où il est évident que le principe de la célérité n'a pas été violé, et que la partie recourante - tenue dans cette situation également de motiver son recours, conformément aux art. 42 al. 2 et 106 al. 2 LTF - ne prétend pas être nécessairement exposée au risque, à terme, d'une violation de la garantie du jugement dans un délai raisonnable ( art. 29 al. 1 Cst. ), il faut considérer que la contestation ne porte pas sur l'application de cette dernière garantie. Autrement dit, le Tribunal fédéral n'est pas en pareil cas saisi d'un recours pour déni de justice formel, à cause d'un refus de statuer, mais d'un recours pour violation d'autres garanties constitutionnelles en relation avec l'application du droit cantonal de procédure pénale. Dans cette hypothèse, il n'y a aucun motif de renoncer à soumettre le recours aux conditions de recevabilité de l' art. 93 al. 1 LTF .</w:t>
      </w:r>
    </w:p>
    <w:p>
      <w:r>
        <w:rPr>
          <w:b/>
        </w:rPr>
        <w:t>E. 2.6</w:t>
      </w:r>
    </w:p>
    <w:p>
      <w:r>
        <w:t>En l'espèce, on se trouve clairement, d'après l'argumentation de la recourante, dans la seconde situation exposée ci-dessus. Il est manifeste que la décision incidente attaquée n'est pas susceptible de causer à la recourante un préjudice juridique irréparable. La condition de l' art. 93 al. 1 let. a LTF n'étant pas satisfaite, les conclusions du recours doivent être déclarées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